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4"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47"/>
        <w:gridCol w:w="426"/>
        <w:gridCol w:w="286"/>
        <w:gridCol w:w="426"/>
        <w:gridCol w:w="2148"/>
        <w:gridCol w:w="426"/>
        <w:gridCol w:w="592"/>
        <w:gridCol w:w="2031"/>
        <w:gridCol w:w="426"/>
        <w:gridCol w:w="2393"/>
        <w:gridCol w:w="18"/>
      </w:tblGrid>
      <w:tr w:rsidR="00AE3FD3" w:rsidRPr="009D7665" w14:paraId="0B8B7679" w14:textId="77777777" w:rsidTr="00AE3FD3">
        <w:trPr>
          <w:trHeight w:val="710"/>
        </w:trPr>
        <w:tc>
          <w:tcPr>
            <w:tcW w:w="2500" w:type="pct"/>
            <w:gridSpan w:val="8"/>
            <w:shd w:val="clear" w:color="auto" w:fill="FFFFFF"/>
            <w:vAlign w:val="center"/>
          </w:tcPr>
          <w:p w14:paraId="4D586BAC" w14:textId="77777777" w:rsidR="00AE3FD3" w:rsidRPr="009D7665" w:rsidRDefault="00AE3FD3" w:rsidP="009D7665">
            <w:pPr>
              <w:spacing w:after="0" w:line="240" w:lineRule="auto"/>
              <w:jc w:val="both"/>
              <w:rPr>
                <w:noProof/>
              </w:rPr>
            </w:pPr>
            <w:r>
              <w:rPr>
                <w:noProof/>
              </w:rPr>
              <w:t>State:</w:t>
            </w:r>
          </w:p>
        </w:tc>
        <w:tc>
          <w:tcPr>
            <w:tcW w:w="2500" w:type="pct"/>
            <w:gridSpan w:val="4"/>
            <w:shd w:val="clear" w:color="auto" w:fill="FFFFFF"/>
            <w:vAlign w:val="center"/>
          </w:tcPr>
          <w:p w14:paraId="542787A4" w14:textId="77777777" w:rsidR="00AE3FD3" w:rsidRPr="009D7665" w:rsidRDefault="00AE3FD3" w:rsidP="009D7665">
            <w:pPr>
              <w:spacing w:after="0" w:line="240" w:lineRule="auto"/>
              <w:jc w:val="both"/>
              <w:rPr>
                <w:noProof/>
              </w:rPr>
            </w:pPr>
            <w:r>
              <w:rPr>
                <w:noProof/>
              </w:rPr>
              <w:t>Site:</w:t>
            </w:r>
          </w:p>
        </w:tc>
      </w:tr>
      <w:tr w:rsidR="00AE3FD3" w:rsidRPr="009D7665" w14:paraId="746B086B" w14:textId="77777777" w:rsidTr="00AE3FD3">
        <w:trPr>
          <w:trHeight w:val="620"/>
        </w:trPr>
        <w:tc>
          <w:tcPr>
            <w:tcW w:w="2500" w:type="pct"/>
            <w:gridSpan w:val="8"/>
            <w:shd w:val="clear" w:color="auto" w:fill="FFFFFF"/>
            <w:vAlign w:val="center"/>
          </w:tcPr>
          <w:p w14:paraId="004CB5E9" w14:textId="77777777" w:rsidR="00AE3FD3" w:rsidRPr="009D7665" w:rsidRDefault="00AE3FD3" w:rsidP="009D7665">
            <w:pPr>
              <w:spacing w:after="0" w:line="240" w:lineRule="auto"/>
              <w:jc w:val="both"/>
              <w:rPr>
                <w:noProof/>
              </w:rPr>
            </w:pPr>
            <w:r>
              <w:rPr>
                <w:noProof/>
              </w:rPr>
              <w:t>Date:</w:t>
            </w:r>
          </w:p>
        </w:tc>
        <w:tc>
          <w:tcPr>
            <w:tcW w:w="2500" w:type="pct"/>
            <w:gridSpan w:val="4"/>
            <w:shd w:val="clear" w:color="auto" w:fill="FFFFFF"/>
            <w:vAlign w:val="center"/>
          </w:tcPr>
          <w:p w14:paraId="19EB56BB" w14:textId="77777777" w:rsidR="00AE3FD3" w:rsidRPr="009D7665" w:rsidRDefault="00AE3FD3" w:rsidP="009D7665">
            <w:pPr>
              <w:spacing w:after="0" w:line="240" w:lineRule="auto"/>
              <w:jc w:val="both"/>
              <w:rPr>
                <w:noProof/>
              </w:rPr>
            </w:pPr>
            <w:r>
              <w:rPr>
                <w:noProof/>
              </w:rPr>
              <w:t>Approved by:</w:t>
            </w:r>
          </w:p>
        </w:tc>
      </w:tr>
      <w:tr w:rsidR="00AE3FD3" w:rsidRPr="009D7665" w14:paraId="256767B8" w14:textId="77777777" w:rsidTr="00AE3FD3">
        <w:trPr>
          <w:trHeight w:val="611"/>
        </w:trPr>
        <w:tc>
          <w:tcPr>
            <w:tcW w:w="5000" w:type="pct"/>
            <w:gridSpan w:val="12"/>
            <w:shd w:val="clear" w:color="auto" w:fill="FFFFFF"/>
            <w:vAlign w:val="center"/>
          </w:tcPr>
          <w:p w14:paraId="492ED9D4" w14:textId="77777777" w:rsidR="00AE3FD3" w:rsidRDefault="00AE3FD3" w:rsidP="009D7665">
            <w:pPr>
              <w:spacing w:after="0" w:line="240" w:lineRule="auto"/>
              <w:jc w:val="both"/>
              <w:rPr>
                <w:noProof/>
              </w:rPr>
            </w:pPr>
            <w:r>
              <w:rPr>
                <w:rFonts w:ascii="Wingdings" w:hAnsi="Wingdings" w:cs="Lucida Grande"/>
                <w:noProof/>
              </w:rPr>
              <w:t></w:t>
            </w:r>
            <w:r>
              <w:rPr>
                <w:rFonts w:ascii="Lucida Grande" w:hAnsi="Lucida Grande" w:cs="Lucida Grande"/>
                <w:noProof/>
              </w:rPr>
              <w:t xml:space="preserve">   ☐ High Consequence    </w:t>
            </w:r>
            <w:r>
              <w:rPr>
                <w:rFonts w:ascii="Wingdings" w:hAnsi="Wingdings" w:cs="Lucida Grande"/>
                <w:noProof/>
              </w:rPr>
              <w:t></w:t>
            </w:r>
            <w:r>
              <w:rPr>
                <w:rFonts w:ascii="Wingdings" w:hAnsi="Wingdings" w:cs="Lucida Grande"/>
                <w:noProof/>
              </w:rPr>
              <w:t></w:t>
            </w:r>
            <w:r>
              <w:rPr>
                <w:rFonts w:ascii="Lucida Grande" w:hAnsi="Lucida Grande" w:cs="Lucida Grande"/>
                <w:noProof/>
              </w:rPr>
              <w:t>☐ Not High Consequence</w:t>
            </w:r>
          </w:p>
        </w:tc>
      </w:tr>
      <w:tr w:rsidR="009D7665" w:rsidRPr="009D7665" w14:paraId="005AB3E9" w14:textId="77777777" w:rsidTr="000B44E6">
        <w:trPr>
          <w:trHeight w:val="2960"/>
        </w:trPr>
        <w:tc>
          <w:tcPr>
            <w:tcW w:w="5000" w:type="pct"/>
            <w:gridSpan w:val="12"/>
            <w:shd w:val="clear" w:color="auto" w:fill="FFFFFF"/>
            <w:vAlign w:val="center"/>
          </w:tcPr>
          <w:p w14:paraId="0B02BF2F" w14:textId="77777777" w:rsidR="009D7665" w:rsidRPr="009D7665" w:rsidRDefault="009D7665" w:rsidP="009D7665">
            <w:pPr>
              <w:spacing w:after="0" w:line="240" w:lineRule="auto"/>
              <w:jc w:val="both"/>
              <w:rPr>
                <w:b/>
                <w:noProof/>
              </w:rPr>
            </w:pPr>
            <w:r w:rsidRPr="009D7665">
              <w:rPr>
                <w:noProof/>
              </w:rPr>
              <w:t>Overview:</w:t>
            </w:r>
          </w:p>
          <w:p w14:paraId="036D308A" w14:textId="77777777" w:rsidR="009D7665" w:rsidRDefault="009D7665" w:rsidP="009D7665">
            <w:pPr>
              <w:spacing w:after="0" w:line="240" w:lineRule="auto"/>
              <w:jc w:val="both"/>
              <w:rPr>
                <w:noProof/>
              </w:rPr>
            </w:pPr>
            <w:r w:rsidRPr="009D7665">
              <w:rPr>
                <w:noProof/>
              </w:rPr>
              <w:t xml:space="preserve">The Consequence Analysis, </w:t>
            </w:r>
            <w:r w:rsidRPr="009D7665">
              <w:rPr>
                <w:i/>
                <w:noProof/>
              </w:rPr>
              <w:t>a required element of TNC Prescribed Burn Unit Plans</w:t>
            </w:r>
            <w:r w:rsidRPr="009D7665">
              <w:rPr>
                <w:noProof/>
              </w:rPr>
              <w:t xml:space="preserve">, evaluates the potential for financial loss or significant harm to TNC reputation or partnerships, should damage to third parties occur from escaped fire or from smoke. As part of the burn planning process, the Consequence Analysis identifies burns with characteristics that may result in a high level of exposure to financial or reputational loss from an adverse unexpected event. These </w:t>
            </w:r>
            <w:r w:rsidRPr="009D7665">
              <w:rPr>
                <w:i/>
                <w:noProof/>
              </w:rPr>
              <w:t>“High Consequence” burns will require the OU Director to be briefed on the burn prior to implementation.</w:t>
            </w:r>
          </w:p>
          <w:p w14:paraId="0EEBD608" w14:textId="77777777" w:rsidR="00AE3FD3" w:rsidRDefault="00AE3FD3" w:rsidP="009D7665">
            <w:pPr>
              <w:spacing w:after="0" w:line="240" w:lineRule="auto"/>
              <w:jc w:val="both"/>
              <w:rPr>
                <w:noProof/>
              </w:rPr>
            </w:pPr>
          </w:p>
          <w:p w14:paraId="087EB7B8" w14:textId="77777777" w:rsidR="009D7665" w:rsidRPr="009D7665" w:rsidRDefault="009D7665" w:rsidP="009D7665">
            <w:pPr>
              <w:spacing w:after="0" w:line="240" w:lineRule="auto"/>
              <w:jc w:val="both"/>
              <w:rPr>
                <w:b/>
                <w:i/>
                <w:noProof/>
              </w:rPr>
            </w:pPr>
            <w:r w:rsidRPr="009D7665">
              <w:rPr>
                <w:i/>
                <w:noProof/>
              </w:rPr>
              <w:t>For more information on filling in this element, see TNC document “TNC Complexity Analysis Guidance”.</w:t>
            </w:r>
          </w:p>
        </w:tc>
      </w:tr>
      <w:tr w:rsidR="000B44E6" w:rsidRPr="009D7665" w14:paraId="1F350C4C" w14:textId="77777777" w:rsidTr="000B44E6">
        <w:trPr>
          <w:gridAfter w:val="1"/>
          <w:wAfter w:w="9" w:type="pct"/>
          <w:trHeight w:val="683"/>
        </w:trPr>
        <w:tc>
          <w:tcPr>
            <w:tcW w:w="655" w:type="pct"/>
            <w:gridSpan w:val="4"/>
            <w:tcBorders>
              <w:bottom w:val="nil"/>
            </w:tcBorders>
            <w:shd w:val="clear" w:color="auto" w:fill="D9D9D9"/>
            <w:vAlign w:val="center"/>
          </w:tcPr>
          <w:p w14:paraId="32B4AF9D" w14:textId="77777777" w:rsidR="000B44E6" w:rsidRPr="009D7665" w:rsidRDefault="000B44E6" w:rsidP="00AE3FD3">
            <w:pPr>
              <w:spacing w:after="0" w:line="240" w:lineRule="auto"/>
              <w:jc w:val="center"/>
            </w:pPr>
            <w:r w:rsidRPr="009D7665">
              <w:t xml:space="preserve">Factor identified for planned </w:t>
            </w:r>
            <w:r>
              <w:t>burn areas</w:t>
            </w:r>
          </w:p>
        </w:tc>
        <w:tc>
          <w:tcPr>
            <w:tcW w:w="4336" w:type="pct"/>
            <w:gridSpan w:val="7"/>
            <w:shd w:val="clear" w:color="auto" w:fill="D9D9D9"/>
            <w:vAlign w:val="center"/>
          </w:tcPr>
          <w:p w14:paraId="58C1D5D4" w14:textId="77777777" w:rsidR="000B44E6" w:rsidRPr="009D7665" w:rsidRDefault="000B44E6" w:rsidP="009D7665">
            <w:pPr>
              <w:spacing w:after="0" w:line="240" w:lineRule="auto"/>
              <w:jc w:val="center"/>
            </w:pPr>
            <w:r w:rsidRPr="009D7665">
              <w:t>CONSEQUENCE ANALYSIS FACTORS</w:t>
            </w:r>
          </w:p>
        </w:tc>
      </w:tr>
      <w:tr w:rsidR="000B44E6" w:rsidRPr="009D7665" w14:paraId="081D8E47" w14:textId="77777777" w:rsidTr="000B44E6">
        <w:trPr>
          <w:gridAfter w:val="1"/>
          <w:wAfter w:w="9" w:type="pct"/>
        </w:trPr>
        <w:tc>
          <w:tcPr>
            <w:tcW w:w="289" w:type="pct"/>
            <w:gridSpan w:val="2"/>
            <w:tcBorders>
              <w:top w:val="nil"/>
              <w:right w:val="nil"/>
            </w:tcBorders>
            <w:shd w:val="clear" w:color="auto" w:fill="D9D9D9"/>
            <w:vAlign w:val="center"/>
          </w:tcPr>
          <w:p w14:paraId="512570C3" w14:textId="77777777" w:rsidR="000B44E6" w:rsidRPr="009D7665" w:rsidRDefault="000B44E6" w:rsidP="009D7665">
            <w:pPr>
              <w:spacing w:after="0" w:line="240" w:lineRule="auto"/>
              <w:jc w:val="center"/>
            </w:pPr>
            <w:r w:rsidRPr="009D7665">
              <w:t>YES</w:t>
            </w:r>
          </w:p>
        </w:tc>
        <w:tc>
          <w:tcPr>
            <w:tcW w:w="366" w:type="pct"/>
            <w:gridSpan w:val="2"/>
            <w:tcBorders>
              <w:top w:val="nil"/>
              <w:left w:val="nil"/>
            </w:tcBorders>
            <w:shd w:val="clear" w:color="auto" w:fill="D9D9D9"/>
            <w:vAlign w:val="center"/>
          </w:tcPr>
          <w:p w14:paraId="2463C8AD" w14:textId="77777777" w:rsidR="000B44E6" w:rsidRPr="009D7665" w:rsidRDefault="000B44E6" w:rsidP="009D7665">
            <w:pPr>
              <w:spacing w:after="0" w:line="240" w:lineRule="auto"/>
              <w:jc w:val="center"/>
            </w:pPr>
            <w:r w:rsidRPr="009D7665">
              <w:t>NO</w:t>
            </w:r>
          </w:p>
        </w:tc>
        <w:tc>
          <w:tcPr>
            <w:tcW w:w="1322" w:type="pct"/>
            <w:gridSpan w:val="2"/>
            <w:shd w:val="clear" w:color="auto" w:fill="D9D9D9"/>
            <w:vAlign w:val="center"/>
          </w:tcPr>
          <w:p w14:paraId="2316548A" w14:textId="77777777" w:rsidR="000B44E6" w:rsidRPr="009D7665" w:rsidRDefault="000B44E6" w:rsidP="009D7665">
            <w:pPr>
              <w:spacing w:after="0" w:line="240" w:lineRule="auto"/>
              <w:jc w:val="center"/>
            </w:pPr>
            <w:r w:rsidRPr="009D7665">
              <w:t>DESCRIPTION</w:t>
            </w:r>
          </w:p>
        </w:tc>
        <w:tc>
          <w:tcPr>
            <w:tcW w:w="1566" w:type="pct"/>
            <w:gridSpan w:val="3"/>
            <w:shd w:val="clear" w:color="auto" w:fill="D9D9D9"/>
            <w:vAlign w:val="center"/>
          </w:tcPr>
          <w:p w14:paraId="2AB5F4BF" w14:textId="77777777" w:rsidR="000B44E6" w:rsidRPr="009D7665" w:rsidRDefault="000B44E6" w:rsidP="009D7665">
            <w:pPr>
              <w:spacing w:after="0" w:line="240" w:lineRule="auto"/>
              <w:jc w:val="center"/>
            </w:pPr>
            <w:r w:rsidRPr="009D7665">
              <w:t>EXAMPLE</w:t>
            </w:r>
          </w:p>
        </w:tc>
        <w:tc>
          <w:tcPr>
            <w:tcW w:w="1448" w:type="pct"/>
            <w:gridSpan w:val="2"/>
            <w:shd w:val="clear" w:color="auto" w:fill="D9D9D9"/>
            <w:vAlign w:val="center"/>
          </w:tcPr>
          <w:p w14:paraId="217B0939" w14:textId="77777777" w:rsidR="000B44E6" w:rsidRPr="009D7665" w:rsidRDefault="000B44E6" w:rsidP="009D7665">
            <w:pPr>
              <w:spacing w:after="0" w:line="240" w:lineRule="auto"/>
              <w:jc w:val="center"/>
            </w:pPr>
            <w:r w:rsidRPr="009D7665">
              <w:t>SITE CONDITIONS</w:t>
            </w:r>
          </w:p>
        </w:tc>
      </w:tr>
      <w:tr w:rsidR="000B44E6" w:rsidRPr="009D7665" w14:paraId="2A084167" w14:textId="77777777" w:rsidTr="000B44E6">
        <w:trPr>
          <w:gridAfter w:val="1"/>
          <w:wAfter w:w="9" w:type="pct"/>
        </w:trPr>
        <w:tc>
          <w:tcPr>
            <w:tcW w:w="289" w:type="pct"/>
            <w:gridSpan w:val="2"/>
            <w:vAlign w:val="center"/>
          </w:tcPr>
          <w:p w14:paraId="70E7E09A" w14:textId="77777777" w:rsidR="000B44E6" w:rsidRPr="009D7665" w:rsidRDefault="000B44E6" w:rsidP="009D7665">
            <w:pPr>
              <w:autoSpaceDE w:val="0"/>
              <w:autoSpaceDN w:val="0"/>
              <w:adjustRightInd w:val="0"/>
              <w:spacing w:after="0" w:line="240" w:lineRule="auto"/>
              <w:jc w:val="center"/>
              <w:rPr>
                <w:rFonts w:cs="Cambria"/>
                <w:b/>
              </w:rPr>
            </w:pPr>
          </w:p>
        </w:tc>
        <w:tc>
          <w:tcPr>
            <w:tcW w:w="366" w:type="pct"/>
            <w:gridSpan w:val="2"/>
            <w:vAlign w:val="center"/>
          </w:tcPr>
          <w:p w14:paraId="0AA07799" w14:textId="77777777" w:rsidR="000B44E6" w:rsidRPr="009D7665" w:rsidRDefault="000B44E6" w:rsidP="009D7665">
            <w:pPr>
              <w:autoSpaceDE w:val="0"/>
              <w:autoSpaceDN w:val="0"/>
              <w:adjustRightInd w:val="0"/>
              <w:spacing w:after="0" w:line="240" w:lineRule="auto"/>
              <w:jc w:val="center"/>
              <w:rPr>
                <w:rFonts w:cs="Cambria"/>
                <w:b/>
              </w:rPr>
            </w:pPr>
          </w:p>
        </w:tc>
        <w:tc>
          <w:tcPr>
            <w:tcW w:w="1322" w:type="pct"/>
            <w:gridSpan w:val="2"/>
            <w:shd w:val="clear" w:color="auto" w:fill="D9D9D9"/>
          </w:tcPr>
          <w:p w14:paraId="4918E19A" w14:textId="77777777" w:rsidR="000B44E6" w:rsidRPr="009D7665" w:rsidRDefault="000B44E6" w:rsidP="009D7665">
            <w:pPr>
              <w:autoSpaceDE w:val="0"/>
              <w:autoSpaceDN w:val="0"/>
              <w:adjustRightInd w:val="0"/>
              <w:spacing w:after="0" w:line="240" w:lineRule="auto"/>
              <w:rPr>
                <w:rFonts w:cs="Cambria-Bold"/>
                <w:b/>
                <w:bCs/>
              </w:rPr>
            </w:pPr>
            <w:r w:rsidRPr="009D7665">
              <w:rPr>
                <w:rFonts w:cs="Cambria-Bold"/>
                <w:bCs/>
              </w:rPr>
              <w:t>Offsite values High</w:t>
            </w:r>
          </w:p>
          <w:p w14:paraId="5A93B38D" w14:textId="77777777" w:rsidR="000B44E6" w:rsidRPr="009D7665" w:rsidRDefault="000B44E6" w:rsidP="009D7665">
            <w:pPr>
              <w:autoSpaceDE w:val="0"/>
              <w:autoSpaceDN w:val="0"/>
              <w:adjustRightInd w:val="0"/>
              <w:spacing w:after="0" w:line="240" w:lineRule="auto"/>
              <w:rPr>
                <w:rFonts w:cs="Cambria"/>
              </w:rPr>
            </w:pPr>
            <w:r w:rsidRPr="009D7665">
              <w:rPr>
                <w:rFonts w:cs="Cambria"/>
              </w:rPr>
              <w:t>Potential for significant damage claims due to risk to improvements or other fire sensitive resources in the area</w:t>
            </w:r>
          </w:p>
        </w:tc>
        <w:tc>
          <w:tcPr>
            <w:tcW w:w="1566" w:type="pct"/>
            <w:gridSpan w:val="3"/>
            <w:shd w:val="clear" w:color="auto" w:fill="D9D9D9"/>
          </w:tcPr>
          <w:p w14:paraId="6F5C038F" w14:textId="77777777" w:rsidR="000B44E6" w:rsidRPr="009D7665" w:rsidRDefault="000B44E6" w:rsidP="009D7665">
            <w:pPr>
              <w:autoSpaceDE w:val="0"/>
              <w:autoSpaceDN w:val="0"/>
              <w:adjustRightInd w:val="0"/>
              <w:spacing w:after="0" w:line="240" w:lineRule="auto"/>
              <w:rPr>
                <w:rFonts w:cs="Cambria"/>
              </w:rPr>
            </w:pPr>
            <w:r w:rsidRPr="009D7665">
              <w:rPr>
                <w:rFonts w:cs="Cambria"/>
              </w:rPr>
              <w:t>Highly flammable wildland fuels contiguous to high value (&gt;$1,000,000) improvements, such as housing developments, historic buildings, high public use recreation areas, or commercial or industrial developments.</w:t>
            </w:r>
          </w:p>
        </w:tc>
        <w:tc>
          <w:tcPr>
            <w:tcW w:w="1448" w:type="pct"/>
            <w:gridSpan w:val="2"/>
            <w:shd w:val="clear" w:color="auto" w:fill="FFFFFF"/>
          </w:tcPr>
          <w:p w14:paraId="38016EE6" w14:textId="77777777" w:rsidR="000B44E6" w:rsidRPr="009D7665" w:rsidRDefault="000B44E6" w:rsidP="009D7665">
            <w:pPr>
              <w:autoSpaceDE w:val="0"/>
              <w:autoSpaceDN w:val="0"/>
              <w:adjustRightInd w:val="0"/>
              <w:spacing w:after="0" w:line="240" w:lineRule="auto"/>
              <w:rPr>
                <w:rFonts w:cs="Cambria"/>
              </w:rPr>
            </w:pPr>
          </w:p>
        </w:tc>
      </w:tr>
      <w:tr w:rsidR="000B44E6" w:rsidRPr="009D7665" w14:paraId="4992131E" w14:textId="77777777" w:rsidTr="000B44E6">
        <w:trPr>
          <w:gridAfter w:val="1"/>
          <w:wAfter w:w="9" w:type="pct"/>
        </w:trPr>
        <w:tc>
          <w:tcPr>
            <w:tcW w:w="289" w:type="pct"/>
            <w:gridSpan w:val="2"/>
            <w:vAlign w:val="center"/>
          </w:tcPr>
          <w:p w14:paraId="19C1C9B6" w14:textId="77777777" w:rsidR="000B44E6" w:rsidRPr="009D7665" w:rsidRDefault="000B44E6" w:rsidP="009D7665">
            <w:pPr>
              <w:autoSpaceDE w:val="0"/>
              <w:autoSpaceDN w:val="0"/>
              <w:adjustRightInd w:val="0"/>
              <w:spacing w:after="0" w:line="240" w:lineRule="auto"/>
              <w:jc w:val="center"/>
              <w:rPr>
                <w:rFonts w:cs="Cambria"/>
                <w:b/>
              </w:rPr>
            </w:pPr>
          </w:p>
        </w:tc>
        <w:tc>
          <w:tcPr>
            <w:tcW w:w="366" w:type="pct"/>
            <w:gridSpan w:val="2"/>
            <w:vAlign w:val="center"/>
          </w:tcPr>
          <w:p w14:paraId="3A6414EC" w14:textId="77777777" w:rsidR="000B44E6" w:rsidRPr="009D7665" w:rsidRDefault="000B44E6" w:rsidP="009D7665">
            <w:pPr>
              <w:autoSpaceDE w:val="0"/>
              <w:autoSpaceDN w:val="0"/>
              <w:adjustRightInd w:val="0"/>
              <w:spacing w:after="0" w:line="240" w:lineRule="auto"/>
              <w:jc w:val="center"/>
              <w:rPr>
                <w:rFonts w:cs="Cambria"/>
                <w:b/>
              </w:rPr>
            </w:pPr>
          </w:p>
        </w:tc>
        <w:tc>
          <w:tcPr>
            <w:tcW w:w="1322" w:type="pct"/>
            <w:gridSpan w:val="2"/>
            <w:shd w:val="clear" w:color="auto" w:fill="D9D9D9"/>
          </w:tcPr>
          <w:p w14:paraId="2C83785A" w14:textId="77777777" w:rsidR="000B44E6" w:rsidRPr="009D7665" w:rsidRDefault="000B44E6" w:rsidP="009D7665">
            <w:pPr>
              <w:autoSpaceDE w:val="0"/>
              <w:autoSpaceDN w:val="0"/>
              <w:adjustRightInd w:val="0"/>
              <w:spacing w:after="0" w:line="240" w:lineRule="auto"/>
              <w:rPr>
                <w:rFonts w:cs="Cambria-Bold"/>
                <w:b/>
                <w:bCs/>
              </w:rPr>
            </w:pPr>
            <w:r w:rsidRPr="009D7665">
              <w:rPr>
                <w:rFonts w:cs="Cambria-Bold"/>
                <w:bCs/>
              </w:rPr>
              <w:t>Smoke sensitive areas</w:t>
            </w:r>
          </w:p>
          <w:p w14:paraId="4AACEDA3" w14:textId="77777777" w:rsidR="000B44E6" w:rsidRPr="009D7665" w:rsidRDefault="000B44E6" w:rsidP="009D7665">
            <w:pPr>
              <w:autoSpaceDE w:val="0"/>
              <w:autoSpaceDN w:val="0"/>
              <w:adjustRightInd w:val="0"/>
              <w:spacing w:after="0" w:line="240" w:lineRule="auto"/>
              <w:rPr>
                <w:rFonts w:cs="Cambria"/>
              </w:rPr>
            </w:pPr>
            <w:r w:rsidRPr="009D7665">
              <w:rPr>
                <w:rFonts w:cs="Cambria"/>
              </w:rPr>
              <w:t>Burn Plan identifies one or more highly smoke sensitive areas that are not easily mitigated</w:t>
            </w:r>
          </w:p>
        </w:tc>
        <w:tc>
          <w:tcPr>
            <w:tcW w:w="1566" w:type="pct"/>
            <w:gridSpan w:val="3"/>
            <w:shd w:val="clear" w:color="auto" w:fill="D9D9D9"/>
          </w:tcPr>
          <w:p w14:paraId="672550FE" w14:textId="77777777" w:rsidR="000B44E6" w:rsidRDefault="000B44E6" w:rsidP="009D7665">
            <w:pPr>
              <w:autoSpaceDE w:val="0"/>
              <w:autoSpaceDN w:val="0"/>
              <w:adjustRightInd w:val="0"/>
              <w:spacing w:after="0" w:line="240" w:lineRule="auto"/>
              <w:rPr>
                <w:rFonts w:cs="Cambria"/>
              </w:rPr>
            </w:pPr>
            <w:r w:rsidRPr="009D7665">
              <w:rPr>
                <w:rFonts w:cs="Cambria"/>
              </w:rPr>
              <w:t>Hospitals, schools, major roads, airports or factories, each with low tolerance for smoke intrusion, nearby on multiple sides of a burn unit</w:t>
            </w:r>
          </w:p>
          <w:p w14:paraId="1DA104C1" w14:textId="77777777" w:rsidR="000B44E6" w:rsidRPr="009D7665" w:rsidRDefault="000B44E6" w:rsidP="009D7665">
            <w:pPr>
              <w:autoSpaceDE w:val="0"/>
              <w:autoSpaceDN w:val="0"/>
              <w:adjustRightInd w:val="0"/>
              <w:spacing w:after="0" w:line="240" w:lineRule="auto"/>
              <w:rPr>
                <w:rFonts w:cs="Cambria"/>
              </w:rPr>
            </w:pPr>
          </w:p>
        </w:tc>
        <w:tc>
          <w:tcPr>
            <w:tcW w:w="1448" w:type="pct"/>
            <w:gridSpan w:val="2"/>
            <w:shd w:val="clear" w:color="auto" w:fill="FFFFFF"/>
          </w:tcPr>
          <w:p w14:paraId="454029D8" w14:textId="77777777" w:rsidR="000B44E6" w:rsidRPr="009D7665" w:rsidRDefault="000B44E6" w:rsidP="009D7665">
            <w:pPr>
              <w:autoSpaceDE w:val="0"/>
              <w:autoSpaceDN w:val="0"/>
              <w:adjustRightInd w:val="0"/>
              <w:spacing w:after="0" w:line="240" w:lineRule="auto"/>
              <w:rPr>
                <w:rFonts w:cs="Cambria"/>
              </w:rPr>
            </w:pPr>
          </w:p>
        </w:tc>
      </w:tr>
      <w:tr w:rsidR="000B44E6" w:rsidRPr="009D7665" w14:paraId="68241858" w14:textId="77777777" w:rsidTr="000B44E6">
        <w:trPr>
          <w:gridAfter w:val="1"/>
          <w:wAfter w:w="9" w:type="pct"/>
        </w:trPr>
        <w:tc>
          <w:tcPr>
            <w:tcW w:w="289" w:type="pct"/>
            <w:gridSpan w:val="2"/>
            <w:vAlign w:val="center"/>
          </w:tcPr>
          <w:p w14:paraId="03F442F7" w14:textId="77777777" w:rsidR="000B44E6" w:rsidRPr="009D7665" w:rsidRDefault="000B44E6" w:rsidP="009D7665">
            <w:pPr>
              <w:autoSpaceDE w:val="0"/>
              <w:autoSpaceDN w:val="0"/>
              <w:adjustRightInd w:val="0"/>
              <w:spacing w:after="0" w:line="240" w:lineRule="auto"/>
              <w:jc w:val="center"/>
              <w:rPr>
                <w:rFonts w:cs="Cambria"/>
                <w:b/>
              </w:rPr>
            </w:pPr>
          </w:p>
        </w:tc>
        <w:tc>
          <w:tcPr>
            <w:tcW w:w="366" w:type="pct"/>
            <w:gridSpan w:val="2"/>
            <w:vAlign w:val="center"/>
          </w:tcPr>
          <w:p w14:paraId="4CB9A1C5" w14:textId="77777777" w:rsidR="000B44E6" w:rsidRPr="009D7665" w:rsidRDefault="000B44E6" w:rsidP="009D7665">
            <w:pPr>
              <w:autoSpaceDE w:val="0"/>
              <w:autoSpaceDN w:val="0"/>
              <w:adjustRightInd w:val="0"/>
              <w:spacing w:after="0" w:line="240" w:lineRule="auto"/>
              <w:jc w:val="center"/>
              <w:rPr>
                <w:rFonts w:cs="Cambria"/>
                <w:b/>
              </w:rPr>
            </w:pPr>
          </w:p>
        </w:tc>
        <w:tc>
          <w:tcPr>
            <w:tcW w:w="1322" w:type="pct"/>
            <w:gridSpan w:val="2"/>
            <w:shd w:val="clear" w:color="auto" w:fill="D9D9D9"/>
          </w:tcPr>
          <w:p w14:paraId="087FEA92" w14:textId="77777777" w:rsidR="000B44E6" w:rsidRPr="009D7665" w:rsidRDefault="000B44E6" w:rsidP="009D7665">
            <w:pPr>
              <w:autoSpaceDE w:val="0"/>
              <w:autoSpaceDN w:val="0"/>
              <w:adjustRightInd w:val="0"/>
              <w:spacing w:after="0" w:line="240" w:lineRule="auto"/>
              <w:rPr>
                <w:rFonts w:cs="Cambria-Bold"/>
                <w:b/>
                <w:bCs/>
              </w:rPr>
            </w:pPr>
            <w:r w:rsidRPr="009D7665">
              <w:rPr>
                <w:rFonts w:cs="Cambria-Bold"/>
                <w:bCs/>
              </w:rPr>
              <w:t>Public/Political sensitivity</w:t>
            </w:r>
          </w:p>
          <w:p w14:paraId="2E569B03" w14:textId="77777777" w:rsidR="000B44E6" w:rsidRPr="009D7665" w:rsidRDefault="000B44E6" w:rsidP="009D7665">
            <w:pPr>
              <w:autoSpaceDE w:val="0"/>
              <w:autoSpaceDN w:val="0"/>
              <w:adjustRightInd w:val="0"/>
              <w:spacing w:after="0" w:line="240" w:lineRule="auto"/>
              <w:rPr>
                <w:rFonts w:cs="Cambria"/>
              </w:rPr>
            </w:pPr>
            <w:r w:rsidRPr="009D7665">
              <w:rPr>
                <w:rFonts w:cs="Cambria"/>
              </w:rPr>
              <w:t>Burn Is likely to attract significant negative public, political, or media attention; significantly aggravated by any unexpected or adverse event</w:t>
            </w:r>
          </w:p>
        </w:tc>
        <w:tc>
          <w:tcPr>
            <w:tcW w:w="1566" w:type="pct"/>
            <w:gridSpan w:val="3"/>
            <w:shd w:val="clear" w:color="auto" w:fill="D9D9D9"/>
          </w:tcPr>
          <w:p w14:paraId="4B858FDD" w14:textId="77777777" w:rsidR="000B44E6" w:rsidRPr="009D7665" w:rsidRDefault="000B44E6" w:rsidP="009D7665">
            <w:pPr>
              <w:autoSpaceDE w:val="0"/>
              <w:autoSpaceDN w:val="0"/>
              <w:adjustRightInd w:val="0"/>
              <w:spacing w:after="0" w:line="240" w:lineRule="auto"/>
              <w:rPr>
                <w:rFonts w:cs="Cambria"/>
              </w:rPr>
            </w:pPr>
            <w:r w:rsidRPr="009D7665">
              <w:rPr>
                <w:rFonts w:cs="Cambria"/>
              </w:rPr>
              <w:t>Burn to be conducted in area that has been impacted recently by damaging wildfire or escaped prescribed fire; or in an area with frequent hostile political/ community response to planned burning</w:t>
            </w:r>
          </w:p>
        </w:tc>
        <w:tc>
          <w:tcPr>
            <w:tcW w:w="1448" w:type="pct"/>
            <w:gridSpan w:val="2"/>
            <w:shd w:val="clear" w:color="auto" w:fill="FFFFFF"/>
          </w:tcPr>
          <w:p w14:paraId="5DECFFF4" w14:textId="77777777" w:rsidR="000B44E6" w:rsidRPr="009D7665" w:rsidRDefault="000B44E6" w:rsidP="009D7665">
            <w:pPr>
              <w:autoSpaceDE w:val="0"/>
              <w:autoSpaceDN w:val="0"/>
              <w:adjustRightInd w:val="0"/>
              <w:spacing w:after="0" w:line="240" w:lineRule="auto"/>
              <w:rPr>
                <w:rFonts w:cs="Cambria"/>
              </w:rPr>
            </w:pPr>
          </w:p>
        </w:tc>
      </w:tr>
      <w:tr w:rsidR="00AE3FD3" w:rsidRPr="009D7665" w14:paraId="23BDEB99" w14:textId="77777777" w:rsidTr="00AA2572">
        <w:trPr>
          <w:cantSplit/>
          <w:trHeight w:val="710"/>
        </w:trPr>
        <w:tc>
          <w:tcPr>
            <w:tcW w:w="5000" w:type="pct"/>
            <w:gridSpan w:val="12"/>
            <w:shd w:val="clear" w:color="auto" w:fill="D9D9D9"/>
            <w:vAlign w:val="center"/>
          </w:tcPr>
          <w:p w14:paraId="4BC6C69A" w14:textId="77777777" w:rsidR="00AE3FD3" w:rsidRPr="00B10487" w:rsidRDefault="000B44E6" w:rsidP="00AA2572">
            <w:pPr>
              <w:autoSpaceDE w:val="0"/>
              <w:autoSpaceDN w:val="0"/>
              <w:adjustRightInd w:val="0"/>
              <w:spacing w:after="0" w:line="240" w:lineRule="auto"/>
              <w:rPr>
                <w:rFonts w:cs="Cambria"/>
              </w:rPr>
            </w:pPr>
            <w:r w:rsidRPr="00B10487">
              <w:rPr>
                <w:rFonts w:cs="Cambria"/>
              </w:rPr>
              <w:lastRenderedPageBreak/>
              <w:t>Secondary</w:t>
            </w:r>
            <w:r w:rsidR="00AA2572">
              <w:rPr>
                <w:rFonts w:cs="Cambria"/>
              </w:rPr>
              <w:t xml:space="preserve"> Factors</w:t>
            </w:r>
            <w:bookmarkStart w:id="0" w:name="_GoBack"/>
            <w:bookmarkEnd w:id="0"/>
          </w:p>
        </w:tc>
      </w:tr>
      <w:tr w:rsidR="009D7665" w:rsidRPr="009D7665" w14:paraId="6E55FD2C" w14:textId="77777777" w:rsidTr="00AA2572">
        <w:trPr>
          <w:trHeight w:val="1790"/>
        </w:trPr>
        <w:tc>
          <w:tcPr>
            <w:tcW w:w="214" w:type="pct"/>
            <w:vMerge w:val="restart"/>
            <w:shd w:val="clear" w:color="auto" w:fill="D9D9D9"/>
            <w:textDirection w:val="btLr"/>
            <w:vAlign w:val="center"/>
          </w:tcPr>
          <w:p w14:paraId="48040467" w14:textId="77777777" w:rsidR="009D7665" w:rsidRPr="009D7665" w:rsidRDefault="009D7665" w:rsidP="000B44E6">
            <w:pPr>
              <w:spacing w:after="0" w:line="240" w:lineRule="auto"/>
              <w:ind w:left="113" w:right="113"/>
              <w:jc w:val="center"/>
              <w:rPr>
                <w:b/>
              </w:rPr>
            </w:pPr>
            <w:r w:rsidRPr="009D7665">
              <w:t>ADDITIONAL FACTORS</w:t>
            </w:r>
          </w:p>
        </w:tc>
        <w:tc>
          <w:tcPr>
            <w:tcW w:w="294" w:type="pct"/>
            <w:gridSpan w:val="2"/>
            <w:vAlign w:val="center"/>
          </w:tcPr>
          <w:p w14:paraId="5D29C99E" w14:textId="77777777" w:rsidR="009D7665" w:rsidRPr="009D7665" w:rsidRDefault="009D7665" w:rsidP="009D7665">
            <w:pPr>
              <w:autoSpaceDE w:val="0"/>
              <w:autoSpaceDN w:val="0"/>
              <w:adjustRightInd w:val="0"/>
              <w:spacing w:after="0" w:line="240" w:lineRule="auto"/>
              <w:jc w:val="center"/>
              <w:rPr>
                <w:rFonts w:cs="Cambria"/>
                <w:b/>
              </w:rPr>
            </w:pPr>
          </w:p>
        </w:tc>
        <w:tc>
          <w:tcPr>
            <w:tcW w:w="366" w:type="pct"/>
            <w:gridSpan w:val="2"/>
            <w:vAlign w:val="center"/>
          </w:tcPr>
          <w:p w14:paraId="2728A950" w14:textId="77777777" w:rsidR="009D7665" w:rsidRPr="009D7665" w:rsidRDefault="009D7665" w:rsidP="009D7665">
            <w:pPr>
              <w:autoSpaceDE w:val="0"/>
              <w:autoSpaceDN w:val="0"/>
              <w:adjustRightInd w:val="0"/>
              <w:spacing w:after="0" w:line="240" w:lineRule="auto"/>
              <w:jc w:val="center"/>
              <w:rPr>
                <w:rFonts w:cs="Cambria"/>
                <w:b/>
              </w:rPr>
            </w:pPr>
          </w:p>
        </w:tc>
        <w:tc>
          <w:tcPr>
            <w:tcW w:w="1322" w:type="pct"/>
            <w:gridSpan w:val="2"/>
            <w:shd w:val="clear" w:color="auto" w:fill="D9D9D9"/>
          </w:tcPr>
          <w:p w14:paraId="5DF41FA7" w14:textId="77777777" w:rsidR="009D7665" w:rsidRPr="009D7665" w:rsidRDefault="009D7665" w:rsidP="009D7665">
            <w:pPr>
              <w:autoSpaceDE w:val="0"/>
              <w:autoSpaceDN w:val="0"/>
              <w:adjustRightInd w:val="0"/>
              <w:spacing w:after="0" w:line="240" w:lineRule="auto"/>
              <w:rPr>
                <w:rFonts w:cs="Cambria-Bold"/>
                <w:b/>
                <w:bCs/>
              </w:rPr>
            </w:pPr>
            <w:r w:rsidRPr="009D7665">
              <w:rPr>
                <w:rFonts w:cs="Cambria-Bold"/>
                <w:bCs/>
              </w:rPr>
              <w:t>Burn Complexity</w:t>
            </w:r>
          </w:p>
          <w:p w14:paraId="796F2F58" w14:textId="77777777" w:rsidR="009D7665" w:rsidRPr="009D7665" w:rsidRDefault="009D7665" w:rsidP="009D7665">
            <w:pPr>
              <w:autoSpaceDE w:val="0"/>
              <w:autoSpaceDN w:val="0"/>
              <w:adjustRightInd w:val="0"/>
              <w:spacing w:after="0" w:line="240" w:lineRule="auto"/>
              <w:rPr>
                <w:rFonts w:cs="Cambria"/>
              </w:rPr>
            </w:pPr>
            <w:r w:rsidRPr="009D7665">
              <w:rPr>
                <w:rFonts w:cs="Cambria"/>
              </w:rPr>
              <w:t>A high degree of technical difficulty or the possibility for multiple adverse operational events or situations to occur</w:t>
            </w:r>
          </w:p>
        </w:tc>
        <w:tc>
          <w:tcPr>
            <w:tcW w:w="1566" w:type="pct"/>
            <w:gridSpan w:val="3"/>
            <w:shd w:val="clear" w:color="auto" w:fill="D9D9D9"/>
          </w:tcPr>
          <w:p w14:paraId="39782F77" w14:textId="77777777" w:rsidR="009D7665" w:rsidRPr="009D7665" w:rsidRDefault="009D7665" w:rsidP="009D7665">
            <w:pPr>
              <w:autoSpaceDE w:val="0"/>
              <w:autoSpaceDN w:val="0"/>
              <w:adjustRightInd w:val="0"/>
              <w:spacing w:after="0" w:line="240" w:lineRule="auto"/>
              <w:rPr>
                <w:rFonts w:cs="Cambria"/>
              </w:rPr>
            </w:pPr>
            <w:r w:rsidRPr="009D7665">
              <w:rPr>
                <w:rFonts w:cs="Cambria"/>
              </w:rPr>
              <w:t>Complexity Rating of High, after mitigation measures incorporated into planning</w:t>
            </w:r>
          </w:p>
        </w:tc>
        <w:tc>
          <w:tcPr>
            <w:tcW w:w="1238" w:type="pct"/>
            <w:gridSpan w:val="2"/>
            <w:shd w:val="clear" w:color="auto" w:fill="FFFFFF"/>
          </w:tcPr>
          <w:p w14:paraId="52C1C2AB" w14:textId="77777777" w:rsidR="009D7665" w:rsidRPr="009D7665" w:rsidRDefault="009D7665" w:rsidP="009D7665">
            <w:pPr>
              <w:autoSpaceDE w:val="0"/>
              <w:autoSpaceDN w:val="0"/>
              <w:adjustRightInd w:val="0"/>
              <w:spacing w:after="0" w:line="240" w:lineRule="auto"/>
              <w:rPr>
                <w:rFonts w:cs="Cambria"/>
              </w:rPr>
            </w:pPr>
          </w:p>
        </w:tc>
      </w:tr>
      <w:tr w:rsidR="009D7665" w:rsidRPr="009D7665" w14:paraId="58DA9838" w14:textId="77777777" w:rsidTr="00AA2572">
        <w:trPr>
          <w:trHeight w:val="3680"/>
        </w:trPr>
        <w:tc>
          <w:tcPr>
            <w:tcW w:w="214" w:type="pct"/>
            <w:vMerge/>
            <w:shd w:val="clear" w:color="auto" w:fill="D9D9D9"/>
          </w:tcPr>
          <w:p w14:paraId="73DE8621" w14:textId="77777777" w:rsidR="009D7665" w:rsidRPr="009D7665" w:rsidRDefault="009D7665" w:rsidP="009D7665">
            <w:pPr>
              <w:spacing w:after="0" w:line="240" w:lineRule="auto"/>
            </w:pPr>
          </w:p>
        </w:tc>
        <w:tc>
          <w:tcPr>
            <w:tcW w:w="294" w:type="pct"/>
            <w:gridSpan w:val="2"/>
            <w:vAlign w:val="center"/>
          </w:tcPr>
          <w:p w14:paraId="3ACC97A6" w14:textId="77777777" w:rsidR="009D7665" w:rsidRPr="009D7665" w:rsidRDefault="009D7665" w:rsidP="009D7665">
            <w:pPr>
              <w:autoSpaceDE w:val="0"/>
              <w:autoSpaceDN w:val="0"/>
              <w:adjustRightInd w:val="0"/>
              <w:spacing w:after="0" w:line="240" w:lineRule="auto"/>
              <w:jc w:val="center"/>
              <w:rPr>
                <w:rFonts w:cs="Cambria"/>
                <w:b/>
              </w:rPr>
            </w:pPr>
          </w:p>
        </w:tc>
        <w:tc>
          <w:tcPr>
            <w:tcW w:w="366" w:type="pct"/>
            <w:gridSpan w:val="2"/>
            <w:vAlign w:val="center"/>
          </w:tcPr>
          <w:p w14:paraId="55E2984A" w14:textId="77777777" w:rsidR="009D7665" w:rsidRPr="009D7665" w:rsidRDefault="009D7665" w:rsidP="009D7665">
            <w:pPr>
              <w:autoSpaceDE w:val="0"/>
              <w:autoSpaceDN w:val="0"/>
              <w:adjustRightInd w:val="0"/>
              <w:spacing w:after="0" w:line="240" w:lineRule="auto"/>
              <w:jc w:val="center"/>
              <w:rPr>
                <w:rFonts w:cs="Cambria"/>
                <w:b/>
              </w:rPr>
            </w:pPr>
          </w:p>
        </w:tc>
        <w:tc>
          <w:tcPr>
            <w:tcW w:w="1322" w:type="pct"/>
            <w:gridSpan w:val="2"/>
            <w:shd w:val="clear" w:color="auto" w:fill="D9D9D9"/>
          </w:tcPr>
          <w:p w14:paraId="70F938AE" w14:textId="77777777" w:rsidR="009D7665" w:rsidRPr="009D7665" w:rsidRDefault="009D7665" w:rsidP="009D7665">
            <w:pPr>
              <w:autoSpaceDE w:val="0"/>
              <w:autoSpaceDN w:val="0"/>
              <w:adjustRightInd w:val="0"/>
              <w:spacing w:after="0" w:line="240" w:lineRule="auto"/>
              <w:rPr>
                <w:rFonts w:cs="Cambria-Bold"/>
                <w:b/>
                <w:bCs/>
              </w:rPr>
            </w:pPr>
            <w:r w:rsidRPr="009D7665">
              <w:rPr>
                <w:rFonts w:cs="Cambria-Bold"/>
                <w:bCs/>
              </w:rPr>
              <w:t>Escape Containment</w:t>
            </w:r>
          </w:p>
          <w:p w14:paraId="24005756" w14:textId="77777777" w:rsidR="009D7665" w:rsidRPr="009D7665" w:rsidRDefault="009D7665" w:rsidP="009D7665">
            <w:pPr>
              <w:autoSpaceDE w:val="0"/>
              <w:autoSpaceDN w:val="0"/>
              <w:adjustRightInd w:val="0"/>
              <w:spacing w:after="0" w:line="240" w:lineRule="auto"/>
              <w:rPr>
                <w:rFonts w:cs="Cambria"/>
              </w:rPr>
            </w:pPr>
            <w:r w:rsidRPr="009D7665">
              <w:rPr>
                <w:rFonts w:cs="Cambria"/>
              </w:rPr>
              <w:t>Contingency planning identifies high degree of difficulty in Initial Attack and containment of escaped fire</w:t>
            </w:r>
          </w:p>
        </w:tc>
        <w:tc>
          <w:tcPr>
            <w:tcW w:w="1566" w:type="pct"/>
            <w:gridSpan w:val="3"/>
            <w:shd w:val="clear" w:color="auto" w:fill="D9D9D9"/>
          </w:tcPr>
          <w:p w14:paraId="3C2335EA" w14:textId="77777777" w:rsidR="009D7665" w:rsidRPr="009D7665" w:rsidRDefault="009D7665" w:rsidP="009D7665">
            <w:pPr>
              <w:autoSpaceDE w:val="0"/>
              <w:autoSpaceDN w:val="0"/>
              <w:adjustRightInd w:val="0"/>
              <w:spacing w:after="0" w:line="240" w:lineRule="auto"/>
              <w:rPr>
                <w:rFonts w:cs="Cambria"/>
              </w:rPr>
            </w:pPr>
            <w:r w:rsidRPr="009D7665">
              <w:rPr>
                <w:rFonts w:cs="Cambria"/>
              </w:rPr>
              <w:t>Contiguous wildland fuels outside burn unit extend into neighboring lands with potential for rapidly moving wind-driven escaped fires and limited avenues for secondary containment or indirect attack of escaped fire; or Burn objectives Require burning under drought or other conditions typically regulated by burn bans or public burn safety warnings</w:t>
            </w:r>
          </w:p>
        </w:tc>
        <w:tc>
          <w:tcPr>
            <w:tcW w:w="1238" w:type="pct"/>
            <w:gridSpan w:val="2"/>
            <w:shd w:val="clear" w:color="auto" w:fill="FFFFFF"/>
          </w:tcPr>
          <w:p w14:paraId="2DD82A46" w14:textId="77777777" w:rsidR="009D7665" w:rsidRPr="009D7665" w:rsidRDefault="009D7665" w:rsidP="009D7665">
            <w:pPr>
              <w:autoSpaceDE w:val="0"/>
              <w:autoSpaceDN w:val="0"/>
              <w:adjustRightInd w:val="0"/>
              <w:spacing w:after="0" w:line="240" w:lineRule="auto"/>
              <w:rPr>
                <w:rFonts w:cs="Cambria"/>
              </w:rPr>
            </w:pPr>
          </w:p>
        </w:tc>
      </w:tr>
      <w:tr w:rsidR="009D7665" w:rsidRPr="009D7665" w14:paraId="0FBFCFA7" w14:textId="77777777" w:rsidTr="00AA2572">
        <w:trPr>
          <w:trHeight w:val="2321"/>
        </w:trPr>
        <w:tc>
          <w:tcPr>
            <w:tcW w:w="214" w:type="pct"/>
            <w:vMerge/>
            <w:shd w:val="clear" w:color="auto" w:fill="D9D9D9"/>
          </w:tcPr>
          <w:p w14:paraId="550E7F8C" w14:textId="77777777" w:rsidR="009D7665" w:rsidRPr="009D7665" w:rsidRDefault="009D7665" w:rsidP="009D7665">
            <w:pPr>
              <w:spacing w:after="0" w:line="240" w:lineRule="auto"/>
            </w:pPr>
          </w:p>
        </w:tc>
        <w:tc>
          <w:tcPr>
            <w:tcW w:w="294" w:type="pct"/>
            <w:gridSpan w:val="2"/>
            <w:vAlign w:val="center"/>
          </w:tcPr>
          <w:p w14:paraId="28400A95" w14:textId="77777777" w:rsidR="009D7665" w:rsidRPr="009D7665" w:rsidRDefault="009D7665" w:rsidP="009D7665">
            <w:pPr>
              <w:autoSpaceDE w:val="0"/>
              <w:autoSpaceDN w:val="0"/>
              <w:adjustRightInd w:val="0"/>
              <w:spacing w:after="0" w:line="240" w:lineRule="auto"/>
              <w:jc w:val="center"/>
              <w:rPr>
                <w:rFonts w:cs="Cambria"/>
                <w:b/>
              </w:rPr>
            </w:pPr>
          </w:p>
        </w:tc>
        <w:tc>
          <w:tcPr>
            <w:tcW w:w="366" w:type="pct"/>
            <w:gridSpan w:val="2"/>
            <w:vAlign w:val="center"/>
          </w:tcPr>
          <w:p w14:paraId="3BE2BF1C" w14:textId="77777777" w:rsidR="009D7665" w:rsidRPr="009D7665" w:rsidRDefault="009D7665" w:rsidP="009D7665">
            <w:pPr>
              <w:autoSpaceDE w:val="0"/>
              <w:autoSpaceDN w:val="0"/>
              <w:adjustRightInd w:val="0"/>
              <w:spacing w:after="0" w:line="240" w:lineRule="auto"/>
              <w:jc w:val="center"/>
              <w:rPr>
                <w:rFonts w:cs="Cambria"/>
                <w:b/>
              </w:rPr>
            </w:pPr>
          </w:p>
        </w:tc>
        <w:tc>
          <w:tcPr>
            <w:tcW w:w="1322" w:type="pct"/>
            <w:gridSpan w:val="2"/>
            <w:shd w:val="clear" w:color="auto" w:fill="D9D9D9"/>
          </w:tcPr>
          <w:p w14:paraId="04CA6BDE" w14:textId="77777777" w:rsidR="009D7665" w:rsidRPr="009D7665" w:rsidRDefault="009D7665" w:rsidP="009D7665">
            <w:pPr>
              <w:autoSpaceDE w:val="0"/>
              <w:autoSpaceDN w:val="0"/>
              <w:adjustRightInd w:val="0"/>
              <w:spacing w:after="0" w:line="240" w:lineRule="auto"/>
              <w:rPr>
                <w:rFonts w:cs="Cambria-Bold"/>
                <w:b/>
                <w:bCs/>
              </w:rPr>
            </w:pPr>
            <w:r w:rsidRPr="009D7665">
              <w:rPr>
                <w:rFonts w:cs="Cambria-Bold"/>
                <w:bCs/>
              </w:rPr>
              <w:t>Residual Burning Fuels</w:t>
            </w:r>
          </w:p>
          <w:p w14:paraId="6498DD31" w14:textId="77777777" w:rsidR="009D7665" w:rsidRPr="009D7665" w:rsidRDefault="009D7665" w:rsidP="009D7665">
            <w:pPr>
              <w:autoSpaceDE w:val="0"/>
              <w:autoSpaceDN w:val="0"/>
              <w:adjustRightInd w:val="0"/>
              <w:spacing w:after="0" w:line="240" w:lineRule="auto"/>
              <w:rPr>
                <w:rFonts w:cs="Cambria"/>
              </w:rPr>
            </w:pPr>
            <w:r w:rsidRPr="009D7665">
              <w:rPr>
                <w:rFonts w:cs="Cambria"/>
              </w:rPr>
              <w:t>Burn unit contains fuels with potential for prolonged smoldering combustion, resulting in extended potential for fire escape or smoke intrusions</w:t>
            </w:r>
          </w:p>
        </w:tc>
        <w:tc>
          <w:tcPr>
            <w:tcW w:w="1566" w:type="pct"/>
            <w:gridSpan w:val="3"/>
            <w:shd w:val="clear" w:color="auto" w:fill="D9D9D9"/>
          </w:tcPr>
          <w:p w14:paraId="576A8DD2" w14:textId="77777777" w:rsidR="009D7665" w:rsidRPr="009D7665" w:rsidRDefault="009D7665" w:rsidP="009D7665">
            <w:pPr>
              <w:autoSpaceDE w:val="0"/>
              <w:autoSpaceDN w:val="0"/>
              <w:adjustRightInd w:val="0"/>
              <w:spacing w:after="0" w:line="240" w:lineRule="auto"/>
              <w:rPr>
                <w:rFonts w:cs="Cambria"/>
              </w:rPr>
            </w:pPr>
            <w:r w:rsidRPr="009D7665">
              <w:rPr>
                <w:rFonts w:cs="Cambria"/>
              </w:rPr>
              <w:t>Burn unit contains peat, heavy slash, or other fuels that will likely ignite and burn for many days, weeks or even months</w:t>
            </w:r>
          </w:p>
        </w:tc>
        <w:tc>
          <w:tcPr>
            <w:tcW w:w="1238" w:type="pct"/>
            <w:gridSpan w:val="2"/>
            <w:shd w:val="clear" w:color="auto" w:fill="FFFFFF"/>
          </w:tcPr>
          <w:p w14:paraId="2DCF9625" w14:textId="77777777" w:rsidR="009D7665" w:rsidRPr="009D7665" w:rsidRDefault="009D7665" w:rsidP="009D7665">
            <w:pPr>
              <w:autoSpaceDE w:val="0"/>
              <w:autoSpaceDN w:val="0"/>
              <w:adjustRightInd w:val="0"/>
              <w:spacing w:after="0" w:line="240" w:lineRule="auto"/>
              <w:rPr>
                <w:rFonts w:cs="Cambria"/>
              </w:rPr>
            </w:pPr>
          </w:p>
        </w:tc>
      </w:tr>
      <w:tr w:rsidR="009D7665" w:rsidRPr="009D7665" w14:paraId="17B3F46A" w14:textId="77777777" w:rsidTr="00AA2572">
        <w:trPr>
          <w:trHeight w:val="2519"/>
        </w:trPr>
        <w:tc>
          <w:tcPr>
            <w:tcW w:w="214" w:type="pct"/>
            <w:vMerge/>
            <w:shd w:val="clear" w:color="auto" w:fill="D9D9D9"/>
          </w:tcPr>
          <w:p w14:paraId="4C8DF4B6" w14:textId="77777777" w:rsidR="009D7665" w:rsidRPr="009D7665" w:rsidRDefault="009D7665" w:rsidP="009D7665">
            <w:pPr>
              <w:spacing w:after="0" w:line="240" w:lineRule="auto"/>
            </w:pPr>
          </w:p>
        </w:tc>
        <w:tc>
          <w:tcPr>
            <w:tcW w:w="294" w:type="pct"/>
            <w:gridSpan w:val="2"/>
            <w:vAlign w:val="center"/>
          </w:tcPr>
          <w:p w14:paraId="7CF1C90C" w14:textId="77777777" w:rsidR="009D7665" w:rsidRPr="009D7665" w:rsidRDefault="009D7665" w:rsidP="009D7665">
            <w:pPr>
              <w:autoSpaceDE w:val="0"/>
              <w:autoSpaceDN w:val="0"/>
              <w:adjustRightInd w:val="0"/>
              <w:spacing w:after="0" w:line="240" w:lineRule="auto"/>
              <w:jc w:val="center"/>
              <w:rPr>
                <w:rFonts w:cs="Cambria"/>
                <w:b/>
              </w:rPr>
            </w:pPr>
          </w:p>
        </w:tc>
        <w:tc>
          <w:tcPr>
            <w:tcW w:w="366" w:type="pct"/>
            <w:gridSpan w:val="2"/>
            <w:vAlign w:val="center"/>
          </w:tcPr>
          <w:p w14:paraId="62BAD6E1" w14:textId="77777777" w:rsidR="009D7665" w:rsidRPr="009D7665" w:rsidRDefault="009D7665" w:rsidP="009D7665">
            <w:pPr>
              <w:autoSpaceDE w:val="0"/>
              <w:autoSpaceDN w:val="0"/>
              <w:adjustRightInd w:val="0"/>
              <w:spacing w:after="0" w:line="240" w:lineRule="auto"/>
              <w:jc w:val="center"/>
              <w:rPr>
                <w:rFonts w:cs="Cambria"/>
                <w:b/>
              </w:rPr>
            </w:pPr>
          </w:p>
        </w:tc>
        <w:tc>
          <w:tcPr>
            <w:tcW w:w="1322" w:type="pct"/>
            <w:gridSpan w:val="2"/>
            <w:shd w:val="clear" w:color="auto" w:fill="D9D9D9"/>
          </w:tcPr>
          <w:p w14:paraId="34D269F4" w14:textId="77777777" w:rsidR="009D7665" w:rsidRPr="009D7665" w:rsidRDefault="009D7665" w:rsidP="009D7665">
            <w:pPr>
              <w:autoSpaceDE w:val="0"/>
              <w:autoSpaceDN w:val="0"/>
              <w:adjustRightInd w:val="0"/>
              <w:spacing w:after="0" w:line="240" w:lineRule="auto"/>
              <w:rPr>
                <w:rFonts w:cs="Cambria-Bold"/>
                <w:b/>
                <w:bCs/>
              </w:rPr>
            </w:pPr>
            <w:r w:rsidRPr="009D7665">
              <w:rPr>
                <w:rFonts w:cs="Cambria-Bold"/>
                <w:bCs/>
              </w:rPr>
              <w:t>Third Party Lands</w:t>
            </w:r>
          </w:p>
          <w:p w14:paraId="073784EB" w14:textId="77777777" w:rsidR="009D7665" w:rsidRPr="009D7665" w:rsidRDefault="009D7665" w:rsidP="009D7665">
            <w:pPr>
              <w:autoSpaceDE w:val="0"/>
              <w:autoSpaceDN w:val="0"/>
              <w:adjustRightInd w:val="0"/>
              <w:spacing w:after="0" w:line="240" w:lineRule="auto"/>
              <w:rPr>
                <w:rFonts w:cs="Cambria"/>
              </w:rPr>
            </w:pPr>
            <w:r w:rsidRPr="009D7665">
              <w:rPr>
                <w:rFonts w:cs="Cambria"/>
              </w:rPr>
              <w:t>Conservancy burn on third party lands where landowner is unwilling to provide liability waiver, indemnification to the Conservancy against third party claims, or possess adequate insurance</w:t>
            </w:r>
          </w:p>
        </w:tc>
        <w:tc>
          <w:tcPr>
            <w:tcW w:w="1566" w:type="pct"/>
            <w:gridSpan w:val="3"/>
            <w:shd w:val="clear" w:color="auto" w:fill="D9D9D9"/>
          </w:tcPr>
          <w:p w14:paraId="77F2E596" w14:textId="77777777" w:rsidR="009D7665" w:rsidRPr="009D7665" w:rsidRDefault="009D7665" w:rsidP="009D7665">
            <w:pPr>
              <w:autoSpaceDE w:val="0"/>
              <w:autoSpaceDN w:val="0"/>
              <w:adjustRightInd w:val="0"/>
              <w:spacing w:after="0" w:line="240" w:lineRule="auto"/>
              <w:rPr>
                <w:rFonts w:cs="Cambria"/>
              </w:rPr>
            </w:pPr>
            <w:r w:rsidRPr="009D7665">
              <w:rPr>
                <w:rFonts w:cs="Cambria"/>
              </w:rPr>
              <w:t>Conservancy to burn on a farm as part of an ongoing private‐lands conservation project, but landowner does not have insurance and/or is unwilling to indemnify the Conservancy from potential damage claims resulting from the burn</w:t>
            </w:r>
          </w:p>
        </w:tc>
        <w:tc>
          <w:tcPr>
            <w:tcW w:w="1238" w:type="pct"/>
            <w:gridSpan w:val="2"/>
            <w:shd w:val="clear" w:color="auto" w:fill="FFFFFF"/>
          </w:tcPr>
          <w:p w14:paraId="3C5EB0DD" w14:textId="77777777" w:rsidR="009D7665" w:rsidRPr="009D7665" w:rsidRDefault="009D7665" w:rsidP="009D7665">
            <w:pPr>
              <w:autoSpaceDE w:val="0"/>
              <w:autoSpaceDN w:val="0"/>
              <w:adjustRightInd w:val="0"/>
              <w:spacing w:after="0" w:line="240" w:lineRule="auto"/>
              <w:rPr>
                <w:rFonts w:cs="Cambria"/>
              </w:rPr>
            </w:pPr>
          </w:p>
        </w:tc>
      </w:tr>
    </w:tbl>
    <w:p w14:paraId="6DB45016" w14:textId="77777777" w:rsidR="00FB221A" w:rsidRDefault="00FB221A"/>
    <w:sectPr w:rsidR="00FB2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464"/>
    <w:multiLevelType w:val="hybridMultilevel"/>
    <w:tmpl w:val="25709660"/>
    <w:lvl w:ilvl="0" w:tplc="C3144B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65"/>
    <w:rsid w:val="000B44E6"/>
    <w:rsid w:val="0051237E"/>
    <w:rsid w:val="009D7665"/>
    <w:rsid w:val="00AA2572"/>
    <w:rsid w:val="00AE3FD3"/>
    <w:rsid w:val="00B10487"/>
    <w:rsid w:val="00FB2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4D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499</Words>
  <Characters>2846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Fuller</dc:creator>
  <cp:lastModifiedBy>Blane Heumann</cp:lastModifiedBy>
  <cp:revision>3</cp:revision>
  <dcterms:created xsi:type="dcterms:W3CDTF">2013-07-10T22:12:00Z</dcterms:created>
  <dcterms:modified xsi:type="dcterms:W3CDTF">2014-02-19T04:35:00Z</dcterms:modified>
</cp:coreProperties>
</file>